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09" w:firstLineChars="195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color w:val="000000"/>
          <w:szCs w:val="21"/>
        </w:rPr>
        <w:t>【例题8】</w:t>
      </w:r>
      <w:r>
        <w:rPr>
          <w:rFonts w:hint="eastAsia" w:ascii="宋体" w:hAnsi="宋体"/>
          <w:szCs w:val="21"/>
        </w:rPr>
        <w:t>根据R7的内容，转向相应的操作程序。对应如下：</w:t>
      </w:r>
    </w:p>
    <w:p>
      <w:pPr>
        <w:spacing w:line="300" w:lineRule="auto"/>
        <w:ind w:firstLine="1039" w:firstLineChars="495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R7=0  </w:t>
      </w:r>
      <w:r>
        <w:rPr>
          <w:rFonts w:hint="eastAsia" w:ascii="宋体" w:hAnsi="宋体"/>
          <w:szCs w:val="21"/>
        </w:rPr>
        <w:t xml:space="preserve">         转入</w:t>
      </w:r>
      <w:r>
        <w:rPr>
          <w:rFonts w:ascii="宋体" w:hAnsi="宋体"/>
          <w:szCs w:val="21"/>
        </w:rPr>
        <w:t>OPR0</w:t>
      </w:r>
    </w:p>
    <w:p>
      <w:pPr>
        <w:spacing w:line="300" w:lineRule="auto"/>
        <w:ind w:firstLine="1039" w:firstLineChars="49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R7=1   </w:t>
      </w:r>
      <w:r>
        <w:rPr>
          <w:rFonts w:hint="eastAsia" w:ascii="宋体" w:hAnsi="宋体"/>
          <w:szCs w:val="21"/>
        </w:rPr>
        <w:t xml:space="preserve">        转入</w:t>
      </w:r>
      <w:r>
        <w:rPr>
          <w:rFonts w:ascii="宋体" w:hAnsi="宋体"/>
          <w:szCs w:val="21"/>
        </w:rPr>
        <w:t>OPR1</w:t>
      </w:r>
    </w:p>
    <w:p>
      <w:pPr>
        <w:spacing w:line="300" w:lineRule="auto"/>
        <w:ind w:firstLine="1039" w:firstLineChars="495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R7=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   转入</w:t>
      </w:r>
      <w:r>
        <w:rPr>
          <w:rFonts w:ascii="宋体" w:hAnsi="宋体"/>
          <w:szCs w:val="21"/>
        </w:rPr>
        <w:t>OPR</w:t>
      </w:r>
      <w:r>
        <w:rPr>
          <w:rFonts w:hint="eastAsia" w:ascii="宋体" w:hAnsi="宋体"/>
          <w:szCs w:val="21"/>
          <w:lang w:val="en-US" w:eastAsia="zh-CN"/>
        </w:rPr>
        <w:t>2</w:t>
      </w:r>
    </w:p>
    <w:p>
      <w:pPr>
        <w:spacing w:line="300" w:lineRule="auto"/>
        <w:ind w:firstLine="1251" w:firstLineChars="596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…………………………</w:t>
      </w:r>
    </w:p>
    <w:p>
      <w:pPr>
        <w:spacing w:line="300" w:lineRule="auto"/>
        <w:ind w:firstLine="1039" w:firstLineChars="495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R7=</w:t>
      </w:r>
      <w:r>
        <w:rPr>
          <w:rFonts w:hint="eastAsia" w:ascii="宋体" w:hAnsi="宋体"/>
          <w:szCs w:val="21"/>
          <w:lang w:val="en-US" w:eastAsia="zh-CN"/>
        </w:rPr>
        <w:t>N-1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转入</w:t>
      </w:r>
      <w:r>
        <w:rPr>
          <w:rFonts w:ascii="宋体" w:hAnsi="宋体"/>
          <w:szCs w:val="21"/>
        </w:rPr>
        <w:t>OPR</w:t>
      </w:r>
      <w:r>
        <w:rPr>
          <w:rFonts w:hint="eastAsia" w:ascii="宋体" w:hAnsi="宋体"/>
          <w:szCs w:val="21"/>
          <w:lang w:val="en-US" w:eastAsia="zh-CN"/>
        </w:rPr>
        <w:t>N-1</w:t>
      </w:r>
    </w:p>
    <w:p>
      <w:pPr>
        <w:spacing w:line="300" w:lineRule="auto"/>
        <w:ind w:firstLine="1041" w:firstLineChars="496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R7=N </w:t>
      </w:r>
      <w:r>
        <w:rPr>
          <w:rFonts w:hint="eastAsia" w:ascii="宋体" w:hAnsi="宋体"/>
          <w:szCs w:val="21"/>
        </w:rPr>
        <w:t xml:space="preserve">          转入</w:t>
      </w:r>
      <w:r>
        <w:rPr>
          <w:rFonts w:ascii="宋体" w:hAnsi="宋体"/>
          <w:szCs w:val="21"/>
        </w:rPr>
        <w:t>OPRN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</w:t>
      </w:r>
      <w:r>
        <w:rPr>
          <w:rFonts w:hint="eastAsia"/>
          <w:lang w:eastAsia="zh-CN"/>
        </w:rPr>
        <w:t>在程序存储器中，把转移地址做成表格，表首地址为</w:t>
      </w:r>
      <w:r>
        <w:rPr>
          <w:rFonts w:hint="eastAsia"/>
          <w:lang w:val="en-US" w:eastAsia="zh-CN"/>
        </w:rPr>
        <w:t>TABH。</w:t>
      </w:r>
      <w:r>
        <w:rPr>
          <w:rFonts w:hint="eastAsia"/>
          <w:lang w:eastAsia="zh-CN"/>
        </w:rPr>
        <w:t>用</w:t>
      </w:r>
      <w:r>
        <w:rPr>
          <w:rFonts w:hint="eastAsia"/>
        </w:rPr>
        <w:t>AJMP指令</w:t>
      </w:r>
      <w:r>
        <w:rPr>
          <w:rFonts w:hint="eastAsia"/>
          <w:lang w:eastAsia="zh-CN"/>
        </w:rPr>
        <w:t>，每条转移指令在程序存储器中占两个字节，如图</w:t>
      </w:r>
      <w:r>
        <w:rPr>
          <w:rFonts w:hint="eastAsia"/>
          <w:lang w:val="en-US" w:eastAsia="zh-CN"/>
        </w:rPr>
        <w:t>1所示。</w:t>
      </w:r>
      <w:r>
        <w:rPr>
          <w:rFonts w:hint="eastAsia"/>
        </w:rPr>
        <w:t>从表中看，要转向某个对应的分支，只需转向表首址加上R7×2的值。</w:t>
      </w:r>
    </w:p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32" o:spid="_x0000_s1032" o:spt="75" type="#_x0000_t75" style="position:absolute;left:0pt;margin-left:227.85pt;margin-top:11.8pt;height:104.25pt;width:128.95pt;mso-wrap-distance-bottom:0pt;mso-wrap-distance-left:9pt;mso-wrap-distance-right:9pt;mso-wrap-distance-top:0pt;z-index:251671552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32" DrawAspect="Content" ObjectID="_1468075725" r:id="rId4">
            <o:LockedField>false</o:LockedField>
          </o:OLEObject>
        </w:pict>
      </w:r>
      <w:r>
        <w:rPr>
          <w:rFonts w:hint="eastAsia"/>
          <w:lang w:eastAsia="zh-CN"/>
        </w:rPr>
        <w:t>转移程序：</w:t>
      </w:r>
      <w:r>
        <w:rPr>
          <w:rFonts w:hint="eastAsia"/>
          <w:lang w:val="en-US" w:eastAsia="zh-CN"/>
        </w:rPr>
        <w:t xml:space="preserve">TABH:AJMP ORP0         </w:t>
      </w:r>
    </w:p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AJMP ORP1</w:t>
      </w:r>
    </w:p>
    <w:p>
      <w:pPr>
        <w:spacing w:line="300" w:lineRule="auto"/>
        <w:ind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AJMP ORP2</w:t>
      </w:r>
    </w:p>
    <w:p>
      <w:pPr>
        <w:spacing w:line="300" w:lineRule="auto"/>
        <w:ind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AJMP ORP3</w:t>
      </w:r>
    </w:p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---------------</w:t>
      </w:r>
    </w:p>
    <w:p>
      <w:pPr>
        <w:spacing w:line="300" w:lineRule="auto"/>
        <w:ind w:left="0" w:leftChars="0"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AJMP ORPN</w:t>
      </w:r>
    </w:p>
    <w:p>
      <w:pPr>
        <w:spacing w:line="300" w:lineRule="auto"/>
        <w:ind w:firstLine="417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Cs/>
          <w:szCs w:val="21"/>
          <w:lang w:eastAsia="zh-CN"/>
        </w:rPr>
        <w:t>程序流程如图</w:t>
      </w:r>
      <w:r>
        <w:rPr>
          <w:rFonts w:hint="eastAsia" w:ascii="宋体" w:hAnsi="宋体"/>
          <w:bCs/>
          <w:szCs w:val="21"/>
          <w:lang w:val="en-US" w:eastAsia="zh-CN"/>
        </w:rPr>
        <w:t>2，</w:t>
      </w:r>
      <w:r>
        <w:rPr>
          <w:rFonts w:hint="eastAsia" w:ascii="宋体" w:hAnsi="宋体"/>
          <w:bCs/>
          <w:szCs w:val="21"/>
        </w:rPr>
        <w:t>程序如下：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</w:t>
      </w:r>
      <w:r>
        <w:rPr>
          <w:rFonts w:hint="eastAsia" w:ascii="黑体" w:hAnsi="黑体" w:eastAsia="黑体" w:cs="黑体"/>
          <w:b/>
          <w:iCs/>
          <w:color w:val="000000"/>
          <w:kern w:val="0"/>
          <w:sz w:val="18"/>
          <w:szCs w:val="18"/>
          <w:lang w:val="en-US" w:eastAsia="zh-CN"/>
        </w:rPr>
        <w:t>图1 转移地址</w:t>
      </w:r>
    </w:p>
    <w:p>
      <w:pPr>
        <w:spacing w:line="300" w:lineRule="auto"/>
        <w:ind w:firstLine="418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ORG 0000H</w:t>
      </w:r>
    </w:p>
    <w:p>
      <w:pPr>
        <w:spacing w:line="300" w:lineRule="auto"/>
        <w:ind w:firstLine="199" w:firstLineChars="9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JUMP1</w:t>
      </w:r>
      <w:r>
        <w:rPr>
          <w:rFonts w:hint="eastAsia" w:ascii="宋体" w:hAnsi="宋体"/>
          <w:szCs w:val="21"/>
        </w:rPr>
        <w:t xml:space="preserve">： </w:t>
      </w:r>
      <w:r>
        <w:rPr>
          <w:rFonts w:ascii="宋体" w:hAnsi="宋体"/>
          <w:szCs w:val="21"/>
        </w:rPr>
        <w:t>MOV  DPTR，#JPTAB1</w:t>
      </w:r>
    </w:p>
    <w:p>
      <w:pPr>
        <w:spacing w:line="300" w:lineRule="auto"/>
        <w:ind w:firstLine="41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MOV  A，R7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ADD  A，R7</w:t>
      </w:r>
      <w:r>
        <w:rPr>
          <w:rFonts w:hint="eastAsia" w:ascii="宋体" w:hAnsi="宋体"/>
          <w:szCs w:val="21"/>
        </w:rPr>
        <w:t xml:space="preserve"> ；AJMP占两个字节。</w:t>
      </w:r>
    </w:p>
    <w:p>
      <w:pPr>
        <w:spacing w:line="300" w:lineRule="auto"/>
        <w:ind w:firstLine="41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JNC  NOAD</w:t>
      </w:r>
    </w:p>
    <w:p>
      <w:pPr>
        <w:spacing w:line="300" w:lineRule="auto"/>
        <w:ind w:firstLine="41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</w:t>
      </w:r>
      <w:r>
        <w:rPr>
          <w:rFonts w:ascii="宋体" w:hAnsi="宋体"/>
          <w:szCs w:val="21"/>
        </w:rPr>
        <w:t>INC   DPH</w:t>
      </w:r>
    </w:p>
    <w:p>
      <w:pPr>
        <w:spacing w:line="300" w:lineRule="auto"/>
        <w:ind w:firstLine="739" w:firstLineChars="35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1033" o:spid="_x0000_s1033" o:spt="75" alt="" type="#_x0000_t75" style="position:absolute;left:0pt;margin-left:213.85pt;margin-top:6.7pt;height:172.35pt;width:109.8pt;mso-wrap-distance-bottom:0pt;mso-wrap-distance-left:9pt;mso-wrap-distance-right:9pt;mso-wrap-distance-top:0pt;z-index:251672576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square"/>
          </v:shape>
          <o:OLEObject Type="Embed" ProgID="Visio.Drawing.11" ShapeID="_x0000_s1033" DrawAspect="Content" ObjectID="_1468075726" r:id="rId6">
            <o:LockedField>false</o:LockedField>
          </o:OLEObject>
        </w:pict>
      </w:r>
      <w:r>
        <w:rPr>
          <w:rFonts w:ascii="宋体" w:hAnsi="宋体"/>
          <w:szCs w:val="21"/>
        </w:rPr>
        <w:t>NOAD：JMP  @A+DPTR</w:t>
      </w:r>
    </w:p>
    <w:p>
      <w:pPr>
        <w:spacing w:line="300" w:lineRule="auto"/>
        <w:ind w:firstLine="525" w:firstLineChars="2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JPTAB1：AJMP   OPR0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AJMP   OPR1</w:t>
      </w:r>
    </w:p>
    <w:p>
      <w:pPr>
        <w:spacing w:line="300" w:lineRule="auto"/>
        <w:ind w:firstLine="41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……………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AJMP   OPRN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LJMP JUMP1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OPR0</w:t>
      </w:r>
      <w:r>
        <w:rPr>
          <w:rFonts w:hint="eastAsia" w:ascii="宋体" w:hAnsi="宋体"/>
          <w:szCs w:val="21"/>
        </w:rPr>
        <w:t>：-------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LJMP JUMP1                          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OPR1</w:t>
      </w:r>
      <w:r>
        <w:rPr>
          <w:rFonts w:hint="eastAsia" w:ascii="宋体" w:hAnsi="宋体"/>
          <w:szCs w:val="21"/>
        </w:rPr>
        <w:t>：-------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LJMP JUMP1  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        ---------  </w:t>
      </w:r>
      <w:r>
        <w:rPr>
          <w:rFonts w:hint="eastAsia" w:ascii="宋体" w:hAnsi="宋体"/>
          <w:szCs w:val="21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 xml:space="preserve"> 图2 程序流程图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LJMP JUMP1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OPRN</w:t>
      </w:r>
      <w:r>
        <w:rPr>
          <w:rFonts w:hint="eastAsia" w:ascii="宋体" w:hAnsi="宋体"/>
          <w:szCs w:val="21"/>
        </w:rPr>
        <w:t>：------</w:t>
      </w:r>
    </w:p>
    <w:p>
      <w:pPr>
        <w:spacing w:line="300" w:lineRule="auto"/>
        <w:ind w:firstLine="417"/>
        <w:rPr>
          <w:rFonts w:hint="eastAsia" w:ascii="宋体" w:hAnsi="宋体"/>
          <w:b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JUMP1: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END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注意：移位转移至</w:t>
      </w:r>
      <w:r>
        <w:rPr>
          <w:rFonts w:hint="eastAsia" w:ascii="楷体" w:hAnsi="楷体" w:eastAsia="楷体" w:cs="楷体"/>
          <w:lang w:val="en-US" w:eastAsia="zh-CN"/>
        </w:rPr>
        <w:t>TABH+2NH，相当于转到TABH+R7×2。在单片机汇编指令系统中只有8位的加法指令，怎么计算TABH+2NH？在这里采用A←R7×2，进位加到DPH。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3A974F59"/>
    <w:rsid w:val="4730006B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