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Lines/>
        <w:spacing w:line="300" w:lineRule="auto"/>
        <w:rPr>
          <w:rFonts w:hint="eastAsia" w:ascii="黑体" w:hAnsi="黑体" w:eastAsia="黑体"/>
          <w:sz w:val="28"/>
          <w:szCs w:val="28"/>
          <w:lang w:eastAsia="zh-CN"/>
        </w:rPr>
      </w:pPr>
      <w:bookmarkStart w:id="0" w:name="_Toc355276636"/>
      <w:bookmarkStart w:id="1" w:name="_Toc7834"/>
      <w:bookmarkStart w:id="2" w:name="_Toc270189988"/>
      <w:bookmarkStart w:id="3" w:name="_Toc31289"/>
      <w:r>
        <w:rPr>
          <w:rFonts w:hint="eastAsia" w:ascii="黑体" w:hAnsi="黑体" w:eastAsia="黑体"/>
          <w:sz w:val="28"/>
          <w:szCs w:val="28"/>
          <w:lang w:eastAsia="zh-CN"/>
        </w:rPr>
        <w:t>思考与练习</w:t>
      </w:r>
      <w:bookmarkEnd w:id="0"/>
      <w:bookmarkEnd w:id="1"/>
      <w:bookmarkEnd w:id="2"/>
      <w:bookmarkEnd w:id="3"/>
    </w:p>
    <w:p>
      <w:pPr>
        <w:spacing w:line="300" w:lineRule="auto"/>
        <w:ind w:firstLine="420"/>
        <w:rPr>
          <w:rFonts w:hint="eastAsia" w:ascii="黑体" w:hAnsi="宋体" w:eastAsia="黑体"/>
          <w:szCs w:val="21"/>
          <w:lang w:val="en-US" w:eastAsia="zh-CN"/>
        </w:rPr>
      </w:pPr>
      <w:r>
        <w:rPr>
          <w:rFonts w:hint="eastAsia" w:ascii="黑体" w:hAnsi="宋体" w:eastAsia="黑体"/>
          <w:szCs w:val="21"/>
          <w:lang w:val="en-US" w:eastAsia="zh-CN"/>
        </w:rPr>
        <w:t>一、简答题</w:t>
      </w:r>
    </w:p>
    <w:p>
      <w:pPr>
        <w:numPr>
          <w:ilvl w:val="0"/>
          <w:numId w:val="0"/>
        </w:numPr>
        <w:spacing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1.简述RS-232C标准。</w:t>
      </w:r>
    </w:p>
    <w:p>
      <w:pPr>
        <w:numPr>
          <w:ilvl w:val="0"/>
          <w:numId w:val="0"/>
        </w:numPr>
        <w:spacing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是由美国电子工业协会（EIA）正式公布的，在异步串行通信中应用最广泛的标准 。RS-232C 标准（协议）的全称是EIA-RS-232C 标准，其中EIA(Electronic Industry Association)代表美国电子工业协会，其中RS是Recommended Standard的缩写，代表推赠标准，232是标识符，C代表RS-232的最新一次修改（1969年），在这之前，有过RS-232A、RS-232B标准，它规定连接电缆和机械、电气特性、信号功能及传送过程。</w:t>
      </w:r>
    </w:p>
    <w:p>
      <w:pPr>
        <w:numPr>
          <w:ilvl w:val="0"/>
          <w:numId w:val="0"/>
        </w:numPr>
        <w:spacing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</w:p>
    <w:p>
      <w:pPr>
        <w:numPr>
          <w:ilvl w:val="0"/>
          <w:numId w:val="1"/>
        </w:numPr>
        <w:spacing w:line="300" w:lineRule="auto"/>
        <w:ind w:firstLine="42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简述RS-485标准。</w:t>
      </w:r>
    </w:p>
    <w:p>
      <w:pPr>
        <w:numPr>
          <w:ilvl w:val="0"/>
          <w:numId w:val="0"/>
        </w:numPr>
        <w:spacing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在RS-485通信网络采用的是主从通信方式，即一个主机带多个从机。通讯协议采用按照设备地址查询的方式，其通讯的效率很低，不适合高速传输系统。一般速率不超过19200bps。波特率为9600bps、1200bps。RS-485标准的最大传输距离约为1219米，最大传输速率为10Mbps。</w:t>
      </w:r>
    </w:p>
    <w:p>
      <w:pPr>
        <w:numPr>
          <w:ilvl w:val="0"/>
          <w:numId w:val="1"/>
        </w:numPr>
        <w:spacing w:line="300" w:lineRule="auto"/>
        <w:ind w:left="0" w:leftChars="0"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简述</w:t>
      </w:r>
      <w:r>
        <w:rPr>
          <w:rFonts w:hint="eastAsia" w:ascii="宋体" w:hAnsi="宋体"/>
          <w:szCs w:val="21"/>
          <w:lang w:eastAsia="zh-CN"/>
        </w:rPr>
        <w:t>I2</w:t>
      </w:r>
      <w:r>
        <w:rPr>
          <w:rFonts w:hint="eastAsia" w:ascii="宋体" w:hAnsi="宋体"/>
          <w:szCs w:val="21"/>
        </w:rPr>
        <w:t>C总线</w:t>
      </w:r>
      <w:r>
        <w:rPr>
          <w:rFonts w:hint="eastAsia" w:ascii="宋体" w:hAnsi="宋体"/>
          <w:szCs w:val="21"/>
          <w:lang w:eastAsia="zh-CN"/>
        </w:rPr>
        <w:t>写操作工作时序</w:t>
      </w:r>
      <w:r>
        <w:rPr>
          <w:rFonts w:hint="eastAsia" w:ascii="宋体" w:hAnsi="宋体"/>
          <w:szCs w:val="21"/>
        </w:rPr>
        <w:t>。</w:t>
      </w:r>
    </w:p>
    <w:p>
      <w:pPr>
        <w:numPr>
          <w:ilvl w:val="0"/>
          <w:numId w:val="0"/>
        </w:numPr>
        <w:spacing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I2C总线信号：</w:t>
      </w:r>
    </w:p>
    <w:p>
      <w:pPr>
        <w:numPr>
          <w:ilvl w:val="0"/>
          <w:numId w:val="0"/>
        </w:numPr>
        <w:spacing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START</w:t>
      </w:r>
      <w:r>
        <w:rPr>
          <w:rFonts w:hint="eastAsia" w:ascii="宋体" w:hAnsi="宋体"/>
          <w:szCs w:val="21"/>
          <w:lang w:val="en-US" w:eastAsia="zh-CN"/>
        </w:rPr>
        <w:t>(启动)、STOP（</w:t>
      </w:r>
      <w:r>
        <w:rPr>
          <w:rFonts w:hint="eastAsia" w:ascii="宋体" w:hAnsi="宋体"/>
          <w:szCs w:val="21"/>
          <w:lang w:eastAsia="zh-CN"/>
        </w:rPr>
        <w:t>停止）、</w:t>
      </w:r>
      <w:r>
        <w:rPr>
          <w:rFonts w:hint="eastAsia" w:ascii="宋体" w:hAnsi="宋体"/>
          <w:szCs w:val="21"/>
          <w:lang w:val="en-US" w:eastAsia="zh-CN"/>
        </w:rPr>
        <w:t>ACK(</w:t>
      </w:r>
      <w:r>
        <w:rPr>
          <w:rFonts w:hint="eastAsia" w:ascii="宋体" w:hAnsi="宋体"/>
          <w:szCs w:val="21"/>
          <w:lang w:eastAsia="zh-CN"/>
        </w:rPr>
        <w:t>应答位</w:t>
      </w:r>
      <w:r>
        <w:rPr>
          <w:rFonts w:hint="eastAsia" w:ascii="宋体" w:hAnsi="宋体"/>
          <w:szCs w:val="21"/>
          <w:lang w:val="en-US" w:eastAsia="zh-CN"/>
        </w:rPr>
        <w:t>)、NACK(非应答位)。</w:t>
      </w:r>
    </w:p>
    <w:p>
      <w:pPr>
        <w:numPr>
          <w:ilvl w:val="0"/>
          <w:numId w:val="0"/>
        </w:numPr>
        <w:spacing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I2C工作时序：</w:t>
      </w:r>
    </w:p>
    <w:p>
      <w:pPr>
        <w:spacing w:line="300" w:lineRule="auto"/>
        <w:ind w:firstLine="420"/>
        <w:rPr>
          <w:rFonts w:hint="eastAsia" w:ascii="黑体" w:hAnsi="黑体" w:eastAsia="黑体" w:cs="黑体"/>
          <w:b/>
          <w:bCs/>
          <w:color w:val="000000"/>
          <w:szCs w:val="21"/>
        </w:rPr>
      </w:pPr>
      <w:r>
        <w:rPr>
          <w:rFonts w:hint="eastAsia" w:ascii="黑体" w:hAnsi="黑体" w:eastAsia="黑体" w:cs="黑体"/>
          <w:b/>
          <w:bCs/>
          <w:color w:val="000000"/>
          <w:szCs w:val="21"/>
          <w:lang w:eastAsia="zh-CN"/>
        </w:rPr>
        <w:t>（</w:t>
      </w:r>
      <w:r>
        <w:rPr>
          <w:rFonts w:hint="eastAsia" w:ascii="黑体" w:hAnsi="黑体" w:eastAsia="黑体" w:cs="黑体"/>
          <w:b/>
          <w:bCs/>
          <w:color w:val="000000"/>
          <w:szCs w:val="21"/>
          <w:lang w:val="en-US" w:eastAsia="zh-CN"/>
        </w:rPr>
        <w:t>1</w:t>
      </w:r>
      <w:r>
        <w:rPr>
          <w:rFonts w:hint="eastAsia" w:ascii="黑体" w:hAnsi="黑体" w:eastAsia="黑体" w:cs="黑体"/>
          <w:b/>
          <w:bCs/>
          <w:color w:val="000000"/>
          <w:szCs w:val="21"/>
          <w:lang w:eastAsia="zh-CN"/>
        </w:rPr>
        <w:t>）</w:t>
      </w:r>
      <w:r>
        <w:rPr>
          <w:rFonts w:hint="eastAsia" w:ascii="黑体" w:hAnsi="黑体" w:eastAsia="黑体" w:cs="黑体"/>
          <w:b/>
          <w:bCs/>
          <w:color w:val="000000"/>
          <w:szCs w:val="21"/>
        </w:rPr>
        <w:t>写单字节</w:t>
      </w:r>
    </w:p>
    <w:tbl>
      <w:tblPr>
        <w:tblStyle w:val="4"/>
        <w:tblW w:w="4989" w:type="dxa"/>
        <w:tblInd w:w="4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"/>
        <w:gridCol w:w="808"/>
        <w:gridCol w:w="439"/>
        <w:gridCol w:w="997"/>
        <w:gridCol w:w="376"/>
        <w:gridCol w:w="738"/>
        <w:gridCol w:w="431"/>
        <w:gridCol w:w="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" w:type="dxa"/>
            <w:shd w:val="clear" w:color="auto" w:fill="D9D9D9"/>
            <w:vAlign w:val="top"/>
          </w:tcPr>
          <w:p>
            <w:pPr>
              <w:spacing w:line="30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</w:t>
            </w:r>
          </w:p>
        </w:tc>
        <w:tc>
          <w:tcPr>
            <w:tcW w:w="808" w:type="dxa"/>
            <w:shd w:val="clear" w:color="auto" w:fill="D9D9D9"/>
            <w:vAlign w:val="top"/>
          </w:tcPr>
          <w:p>
            <w:pPr>
              <w:spacing w:line="30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SLAW</w:t>
            </w:r>
          </w:p>
        </w:tc>
        <w:tc>
          <w:tcPr>
            <w:tcW w:w="439" w:type="dxa"/>
            <w:shd w:val="clear" w:color="auto" w:fill="auto"/>
            <w:vAlign w:val="top"/>
          </w:tcPr>
          <w:p>
            <w:pPr>
              <w:spacing w:line="30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A</w:t>
            </w:r>
          </w:p>
        </w:tc>
        <w:tc>
          <w:tcPr>
            <w:tcW w:w="997" w:type="dxa"/>
            <w:shd w:val="clear" w:color="auto" w:fill="D9D9D9"/>
            <w:vAlign w:val="top"/>
          </w:tcPr>
          <w:p>
            <w:pPr>
              <w:spacing w:line="30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SUBADR</w:t>
            </w:r>
          </w:p>
        </w:tc>
        <w:tc>
          <w:tcPr>
            <w:tcW w:w="376" w:type="dxa"/>
            <w:shd w:val="clear" w:color="auto" w:fill="auto"/>
            <w:vAlign w:val="top"/>
          </w:tcPr>
          <w:p>
            <w:pPr>
              <w:spacing w:line="30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A</w:t>
            </w:r>
          </w:p>
        </w:tc>
        <w:tc>
          <w:tcPr>
            <w:tcW w:w="738" w:type="dxa"/>
            <w:shd w:val="clear" w:color="auto" w:fill="D9D9D9"/>
            <w:vAlign w:val="top"/>
          </w:tcPr>
          <w:p>
            <w:pPr>
              <w:spacing w:line="30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</w:t>
            </w:r>
            <w:r>
              <w:rPr>
                <w:rFonts w:hint="eastAsia"/>
                <w:color w:val="000000"/>
                <w:sz w:val="18"/>
                <w:szCs w:val="18"/>
              </w:rPr>
              <w:t>ata</w:t>
            </w:r>
          </w:p>
        </w:tc>
        <w:tc>
          <w:tcPr>
            <w:tcW w:w="431" w:type="dxa"/>
            <w:shd w:val="clear" w:color="auto" w:fill="auto"/>
            <w:vAlign w:val="top"/>
          </w:tcPr>
          <w:p>
            <w:pPr>
              <w:spacing w:line="30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A</w:t>
            </w:r>
          </w:p>
        </w:tc>
        <w:tc>
          <w:tcPr>
            <w:tcW w:w="738" w:type="dxa"/>
            <w:shd w:val="clear" w:color="auto" w:fill="D9D9D9"/>
            <w:vAlign w:val="top"/>
          </w:tcPr>
          <w:p>
            <w:pPr>
              <w:spacing w:line="30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</w:t>
            </w:r>
          </w:p>
        </w:tc>
      </w:tr>
    </w:tbl>
    <w:p>
      <w:pPr>
        <w:spacing w:line="300" w:lineRule="auto"/>
        <w:ind w:firstLine="420"/>
        <w:rPr>
          <w:rFonts w:hint="eastAsia" w:ascii="黑体" w:hAnsi="黑体" w:eastAsia="黑体" w:cs="黑体"/>
          <w:b/>
          <w:bCs/>
          <w:color w:val="000000"/>
          <w:szCs w:val="21"/>
          <w:lang w:eastAsia="zh-CN"/>
        </w:rPr>
      </w:pPr>
      <w:r>
        <w:rPr>
          <w:rFonts w:hint="eastAsia" w:ascii="黑体" w:hAnsi="黑体" w:eastAsia="黑体" w:cs="黑体"/>
          <w:b/>
          <w:bCs/>
          <w:color w:val="000000"/>
          <w:szCs w:val="21"/>
          <w:lang w:eastAsia="zh-CN"/>
        </w:rPr>
        <w:t>（</w:t>
      </w:r>
      <w:r>
        <w:rPr>
          <w:rFonts w:hint="eastAsia" w:ascii="黑体" w:hAnsi="黑体" w:eastAsia="黑体" w:cs="黑体"/>
          <w:b/>
          <w:bCs/>
          <w:color w:val="000000"/>
          <w:szCs w:val="21"/>
          <w:lang w:val="en-US" w:eastAsia="zh-CN"/>
        </w:rPr>
        <w:t>2</w:t>
      </w:r>
      <w:r>
        <w:rPr>
          <w:rFonts w:hint="eastAsia" w:ascii="黑体" w:hAnsi="黑体" w:eastAsia="黑体" w:cs="黑体"/>
          <w:b/>
          <w:bCs/>
          <w:color w:val="000000"/>
          <w:szCs w:val="21"/>
          <w:lang w:eastAsia="zh-CN"/>
        </w:rPr>
        <w:t>）写多个字节</w:t>
      </w:r>
    </w:p>
    <w:tbl>
      <w:tblPr>
        <w:tblStyle w:val="4"/>
        <w:tblW w:w="8026" w:type="dxa"/>
        <w:tblInd w:w="4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"/>
        <w:gridCol w:w="808"/>
        <w:gridCol w:w="439"/>
        <w:gridCol w:w="997"/>
        <w:gridCol w:w="376"/>
        <w:gridCol w:w="738"/>
        <w:gridCol w:w="431"/>
        <w:gridCol w:w="738"/>
        <w:gridCol w:w="500"/>
        <w:gridCol w:w="587"/>
        <w:gridCol w:w="810"/>
        <w:gridCol w:w="480"/>
        <w:gridCol w:w="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" w:type="dxa"/>
            <w:shd w:val="clear" w:color="auto" w:fill="D9D9D9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</w:t>
            </w:r>
          </w:p>
        </w:tc>
        <w:tc>
          <w:tcPr>
            <w:tcW w:w="808" w:type="dxa"/>
            <w:shd w:val="clear" w:color="auto" w:fill="D9D9D9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SLAW</w:t>
            </w:r>
          </w:p>
        </w:tc>
        <w:tc>
          <w:tcPr>
            <w:tcW w:w="439" w:type="dxa"/>
            <w:shd w:val="clear" w:color="auto" w:fill="auto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A</w:t>
            </w:r>
          </w:p>
        </w:tc>
        <w:tc>
          <w:tcPr>
            <w:tcW w:w="997" w:type="dxa"/>
            <w:shd w:val="clear" w:color="auto" w:fill="D9D9D9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SUBADR</w:t>
            </w:r>
          </w:p>
        </w:tc>
        <w:tc>
          <w:tcPr>
            <w:tcW w:w="376" w:type="dxa"/>
            <w:shd w:val="clear" w:color="auto" w:fill="auto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A</w:t>
            </w:r>
          </w:p>
        </w:tc>
        <w:tc>
          <w:tcPr>
            <w:tcW w:w="738" w:type="dxa"/>
            <w:shd w:val="clear" w:color="auto" w:fill="D9D9D9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</w:t>
            </w:r>
            <w:r>
              <w:rPr>
                <w:rFonts w:hint="eastAsia"/>
                <w:color w:val="000000"/>
                <w:sz w:val="18"/>
                <w:szCs w:val="18"/>
              </w:rPr>
              <w:t>ata1</w:t>
            </w:r>
          </w:p>
        </w:tc>
        <w:tc>
          <w:tcPr>
            <w:tcW w:w="431" w:type="dxa"/>
            <w:shd w:val="clear" w:color="auto" w:fill="auto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A</w:t>
            </w:r>
          </w:p>
        </w:tc>
        <w:tc>
          <w:tcPr>
            <w:tcW w:w="738" w:type="dxa"/>
            <w:shd w:val="clear" w:color="auto" w:fill="D9D9D9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</w:t>
            </w:r>
            <w:r>
              <w:rPr>
                <w:rFonts w:hint="eastAsia"/>
                <w:color w:val="000000"/>
                <w:sz w:val="18"/>
                <w:szCs w:val="18"/>
              </w:rPr>
              <w:t>ata2</w:t>
            </w:r>
          </w:p>
        </w:tc>
        <w:tc>
          <w:tcPr>
            <w:tcW w:w="500" w:type="dxa"/>
            <w:shd w:val="clear" w:color="auto" w:fill="auto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A</w:t>
            </w:r>
          </w:p>
        </w:tc>
        <w:tc>
          <w:tcPr>
            <w:tcW w:w="587" w:type="dxa"/>
            <w:shd w:val="clear" w:color="auto" w:fill="auto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…</w:t>
            </w:r>
          </w:p>
        </w:tc>
        <w:tc>
          <w:tcPr>
            <w:tcW w:w="810" w:type="dxa"/>
            <w:shd w:val="clear" w:color="auto" w:fill="D9D9D9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</w:t>
            </w:r>
            <w:r>
              <w:rPr>
                <w:rFonts w:hint="eastAsia"/>
                <w:color w:val="000000"/>
                <w:sz w:val="18"/>
                <w:szCs w:val="18"/>
              </w:rPr>
              <w:t>ataN</w:t>
            </w:r>
          </w:p>
        </w:tc>
        <w:tc>
          <w:tcPr>
            <w:tcW w:w="480" w:type="dxa"/>
            <w:shd w:val="clear" w:color="auto" w:fill="auto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A</w:t>
            </w:r>
          </w:p>
        </w:tc>
        <w:tc>
          <w:tcPr>
            <w:tcW w:w="660" w:type="dxa"/>
            <w:shd w:val="clear" w:color="auto" w:fill="D9D9D9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</w:t>
            </w:r>
          </w:p>
        </w:tc>
      </w:tr>
    </w:tbl>
    <w:p>
      <w:pPr>
        <w:spacing w:line="300" w:lineRule="auto"/>
        <w:ind w:firstLine="420"/>
        <w:rPr>
          <w:rFonts w:hint="eastAsia" w:ascii="黑体" w:hAnsi="黑体" w:eastAsia="黑体" w:cs="黑体"/>
          <w:b/>
          <w:bCs/>
          <w:color w:val="000000"/>
          <w:szCs w:val="21"/>
          <w:lang w:eastAsia="zh-CN"/>
        </w:rPr>
      </w:pPr>
      <w:r>
        <w:rPr>
          <w:rFonts w:hint="eastAsia" w:ascii="黑体" w:hAnsi="黑体" w:eastAsia="黑体" w:cs="黑体"/>
          <w:b/>
          <w:bCs/>
          <w:color w:val="000000"/>
          <w:szCs w:val="21"/>
          <w:lang w:eastAsia="zh-CN"/>
        </w:rPr>
        <w:t>（</w:t>
      </w:r>
      <w:r>
        <w:rPr>
          <w:rFonts w:hint="eastAsia" w:ascii="黑体" w:hAnsi="黑体" w:eastAsia="黑体" w:cs="黑体"/>
          <w:b/>
          <w:bCs/>
          <w:color w:val="000000"/>
          <w:szCs w:val="21"/>
          <w:lang w:val="en-US" w:eastAsia="zh-CN"/>
        </w:rPr>
        <w:t>3</w:t>
      </w:r>
      <w:r>
        <w:rPr>
          <w:rFonts w:hint="eastAsia" w:ascii="黑体" w:hAnsi="黑体" w:eastAsia="黑体" w:cs="黑体"/>
          <w:b/>
          <w:bCs/>
          <w:color w:val="000000"/>
          <w:szCs w:val="21"/>
          <w:lang w:eastAsia="zh-CN"/>
        </w:rPr>
        <w:t>）读当前字节</w:t>
      </w:r>
    </w:p>
    <w:tbl>
      <w:tblPr>
        <w:tblStyle w:val="4"/>
        <w:tblW w:w="3962" w:type="dxa"/>
        <w:tblInd w:w="4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"/>
        <w:gridCol w:w="808"/>
        <w:gridCol w:w="439"/>
        <w:gridCol w:w="738"/>
        <w:gridCol w:w="777"/>
        <w:gridCol w:w="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" w:type="dxa"/>
            <w:shd w:val="clear" w:color="auto" w:fill="D9D9D9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</w:t>
            </w:r>
          </w:p>
        </w:tc>
        <w:tc>
          <w:tcPr>
            <w:tcW w:w="808" w:type="dxa"/>
            <w:shd w:val="clear" w:color="auto" w:fill="D9D9D9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SLAR</w:t>
            </w:r>
          </w:p>
        </w:tc>
        <w:tc>
          <w:tcPr>
            <w:tcW w:w="439" w:type="dxa"/>
            <w:shd w:val="clear" w:color="auto" w:fill="auto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A</w:t>
            </w:r>
          </w:p>
        </w:tc>
        <w:tc>
          <w:tcPr>
            <w:tcW w:w="738" w:type="dxa"/>
            <w:shd w:val="clear" w:color="auto" w:fill="D9D9D9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</w:t>
            </w:r>
            <w:r>
              <w:rPr>
                <w:rFonts w:hint="eastAsia"/>
                <w:color w:val="000000"/>
                <w:sz w:val="18"/>
                <w:szCs w:val="18"/>
              </w:rPr>
              <w:t>ata1</w:t>
            </w:r>
          </w:p>
        </w:tc>
        <w:tc>
          <w:tcPr>
            <w:tcW w:w="777" w:type="dxa"/>
            <w:shd w:val="clear" w:color="auto" w:fill="auto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ACK</w:t>
            </w:r>
          </w:p>
        </w:tc>
        <w:tc>
          <w:tcPr>
            <w:tcW w:w="738" w:type="dxa"/>
            <w:shd w:val="clear" w:color="auto" w:fill="D9D9D9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</w:t>
            </w:r>
          </w:p>
        </w:tc>
      </w:tr>
    </w:tbl>
    <w:p>
      <w:pPr>
        <w:spacing w:line="300" w:lineRule="auto"/>
        <w:ind w:firstLine="420"/>
        <w:rPr>
          <w:rFonts w:hint="eastAsia" w:ascii="黑体" w:hAnsi="黑体" w:eastAsia="黑体" w:cs="黑体"/>
          <w:b/>
          <w:bCs/>
          <w:color w:val="000000"/>
          <w:szCs w:val="21"/>
          <w:lang w:eastAsia="zh-CN"/>
        </w:rPr>
      </w:pPr>
      <w:r>
        <w:rPr>
          <w:rFonts w:hint="eastAsia" w:ascii="黑体" w:hAnsi="黑体" w:eastAsia="黑体" w:cs="黑体"/>
          <w:b/>
          <w:bCs/>
          <w:color w:val="000000"/>
          <w:szCs w:val="21"/>
          <w:lang w:eastAsia="zh-CN"/>
        </w:rPr>
        <w:t>（</w:t>
      </w:r>
      <w:r>
        <w:rPr>
          <w:rFonts w:hint="eastAsia" w:ascii="黑体" w:hAnsi="黑体" w:eastAsia="黑体" w:cs="黑体"/>
          <w:b/>
          <w:bCs/>
          <w:color w:val="000000"/>
          <w:szCs w:val="21"/>
          <w:lang w:val="en-US" w:eastAsia="zh-CN"/>
        </w:rPr>
        <w:t>4</w:t>
      </w:r>
      <w:r>
        <w:rPr>
          <w:rFonts w:hint="eastAsia" w:ascii="黑体" w:hAnsi="黑体" w:eastAsia="黑体" w:cs="黑体"/>
          <w:b/>
          <w:bCs/>
          <w:color w:val="000000"/>
          <w:szCs w:val="21"/>
          <w:lang w:eastAsia="zh-CN"/>
        </w:rPr>
        <w:t>）读指定字节</w:t>
      </w:r>
    </w:p>
    <w:tbl>
      <w:tblPr>
        <w:tblStyle w:val="4"/>
        <w:tblW w:w="7147" w:type="dxa"/>
        <w:tblInd w:w="4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801"/>
        <w:gridCol w:w="412"/>
        <w:gridCol w:w="1064"/>
        <w:gridCol w:w="407"/>
        <w:gridCol w:w="584"/>
        <w:gridCol w:w="750"/>
        <w:gridCol w:w="597"/>
        <w:gridCol w:w="714"/>
        <w:gridCol w:w="777"/>
        <w:gridCol w:w="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" w:type="dxa"/>
            <w:shd w:val="clear" w:color="auto" w:fill="D9D9D9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</w:t>
            </w:r>
          </w:p>
        </w:tc>
        <w:tc>
          <w:tcPr>
            <w:tcW w:w="801" w:type="dxa"/>
            <w:shd w:val="clear" w:color="auto" w:fill="D9D9D9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SLAR</w:t>
            </w:r>
          </w:p>
        </w:tc>
        <w:tc>
          <w:tcPr>
            <w:tcW w:w="412" w:type="dxa"/>
            <w:shd w:val="clear" w:color="auto" w:fill="auto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A</w:t>
            </w:r>
          </w:p>
        </w:tc>
        <w:tc>
          <w:tcPr>
            <w:tcW w:w="1064" w:type="dxa"/>
            <w:shd w:val="clear" w:color="auto" w:fill="D9D9D9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SUBADR</w:t>
            </w:r>
          </w:p>
        </w:tc>
        <w:tc>
          <w:tcPr>
            <w:tcW w:w="407" w:type="dxa"/>
            <w:shd w:val="clear" w:color="auto" w:fill="auto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A</w:t>
            </w:r>
          </w:p>
        </w:tc>
        <w:tc>
          <w:tcPr>
            <w:tcW w:w="584" w:type="dxa"/>
            <w:shd w:val="clear" w:color="auto" w:fill="D9D9D9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</w:t>
            </w:r>
          </w:p>
        </w:tc>
        <w:tc>
          <w:tcPr>
            <w:tcW w:w="750" w:type="dxa"/>
            <w:shd w:val="clear" w:color="auto" w:fill="auto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SLAR</w:t>
            </w:r>
          </w:p>
        </w:tc>
        <w:tc>
          <w:tcPr>
            <w:tcW w:w="597" w:type="dxa"/>
            <w:shd w:val="clear" w:color="auto" w:fill="D9D9D9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A</w:t>
            </w:r>
          </w:p>
        </w:tc>
        <w:tc>
          <w:tcPr>
            <w:tcW w:w="714" w:type="dxa"/>
            <w:shd w:val="clear" w:color="auto" w:fill="auto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</w:t>
            </w:r>
            <w:r>
              <w:rPr>
                <w:rFonts w:hint="eastAsia"/>
                <w:color w:val="000000"/>
                <w:sz w:val="18"/>
                <w:szCs w:val="18"/>
              </w:rPr>
              <w:t>ata1</w:t>
            </w:r>
          </w:p>
        </w:tc>
        <w:tc>
          <w:tcPr>
            <w:tcW w:w="777" w:type="dxa"/>
            <w:shd w:val="clear" w:color="auto" w:fill="auto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ACK</w:t>
            </w:r>
          </w:p>
        </w:tc>
        <w:tc>
          <w:tcPr>
            <w:tcW w:w="629" w:type="dxa"/>
            <w:shd w:val="clear" w:color="auto" w:fill="D9D9D9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</w:t>
            </w:r>
          </w:p>
        </w:tc>
      </w:tr>
    </w:tbl>
    <w:p>
      <w:pPr>
        <w:spacing w:line="300" w:lineRule="auto"/>
        <w:ind w:firstLine="420"/>
        <w:rPr>
          <w:rFonts w:hint="eastAsia" w:ascii="黑体" w:hAnsi="黑体" w:eastAsia="黑体" w:cs="黑体"/>
          <w:b/>
          <w:bCs/>
          <w:color w:val="000000"/>
          <w:szCs w:val="21"/>
          <w:lang w:eastAsia="zh-CN"/>
        </w:rPr>
      </w:pPr>
      <w:r>
        <w:rPr>
          <w:rFonts w:hint="eastAsia" w:ascii="黑体" w:hAnsi="黑体" w:eastAsia="黑体" w:cs="黑体"/>
          <w:b/>
          <w:bCs/>
          <w:color w:val="000000"/>
          <w:szCs w:val="21"/>
          <w:lang w:eastAsia="zh-CN"/>
        </w:rPr>
        <w:t>（</w:t>
      </w:r>
      <w:r>
        <w:rPr>
          <w:rFonts w:hint="eastAsia" w:ascii="黑体" w:hAnsi="黑体" w:eastAsia="黑体" w:cs="黑体"/>
          <w:b/>
          <w:bCs/>
          <w:color w:val="000000"/>
          <w:szCs w:val="21"/>
          <w:lang w:val="en-US" w:eastAsia="zh-CN"/>
        </w:rPr>
        <w:t>5</w:t>
      </w:r>
      <w:r>
        <w:rPr>
          <w:rFonts w:hint="eastAsia" w:ascii="黑体" w:hAnsi="黑体" w:eastAsia="黑体" w:cs="黑体"/>
          <w:b/>
          <w:bCs/>
          <w:color w:val="000000"/>
          <w:szCs w:val="21"/>
          <w:lang w:eastAsia="zh-CN"/>
        </w:rPr>
        <w:t>）读多字节</w:t>
      </w:r>
    </w:p>
    <w:tbl>
      <w:tblPr>
        <w:tblStyle w:val="4"/>
        <w:tblW w:w="8515" w:type="dxa"/>
        <w:tblInd w:w="4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"/>
        <w:gridCol w:w="680"/>
        <w:gridCol w:w="346"/>
        <w:gridCol w:w="1000"/>
        <w:gridCol w:w="288"/>
        <w:gridCol w:w="321"/>
        <w:gridCol w:w="684"/>
        <w:gridCol w:w="348"/>
        <w:gridCol w:w="826"/>
        <w:gridCol w:w="350"/>
        <w:gridCol w:w="826"/>
        <w:gridCol w:w="348"/>
        <w:gridCol w:w="396"/>
        <w:gridCol w:w="689"/>
        <w:gridCol w:w="777"/>
        <w:gridCol w:w="3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" w:type="dxa"/>
            <w:shd w:val="clear" w:color="auto" w:fill="D9D9D9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</w:t>
            </w:r>
          </w:p>
        </w:tc>
        <w:tc>
          <w:tcPr>
            <w:tcW w:w="680" w:type="dxa"/>
            <w:shd w:val="clear" w:color="auto" w:fill="D9D9D9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SLAR</w:t>
            </w:r>
          </w:p>
        </w:tc>
        <w:tc>
          <w:tcPr>
            <w:tcW w:w="346" w:type="dxa"/>
            <w:shd w:val="clear" w:color="auto" w:fill="auto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A</w:t>
            </w:r>
          </w:p>
        </w:tc>
        <w:tc>
          <w:tcPr>
            <w:tcW w:w="1000" w:type="dxa"/>
            <w:shd w:val="clear" w:color="auto" w:fill="D9D9D9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SUBADR</w:t>
            </w:r>
          </w:p>
        </w:tc>
        <w:tc>
          <w:tcPr>
            <w:tcW w:w="288" w:type="dxa"/>
            <w:shd w:val="clear" w:color="auto" w:fill="auto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A</w:t>
            </w:r>
          </w:p>
        </w:tc>
        <w:tc>
          <w:tcPr>
            <w:tcW w:w="321" w:type="dxa"/>
            <w:shd w:val="clear" w:color="auto" w:fill="D9D9D9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</w:t>
            </w:r>
          </w:p>
        </w:tc>
        <w:tc>
          <w:tcPr>
            <w:tcW w:w="684" w:type="dxa"/>
            <w:shd w:val="clear" w:color="auto" w:fill="auto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SLAR</w:t>
            </w:r>
          </w:p>
        </w:tc>
        <w:tc>
          <w:tcPr>
            <w:tcW w:w="348" w:type="dxa"/>
            <w:shd w:val="clear" w:color="auto" w:fill="D9D9D9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A</w:t>
            </w:r>
          </w:p>
        </w:tc>
        <w:tc>
          <w:tcPr>
            <w:tcW w:w="826" w:type="dxa"/>
            <w:shd w:val="clear" w:color="auto" w:fill="auto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</w:t>
            </w:r>
            <w:r>
              <w:rPr>
                <w:rFonts w:hint="eastAsia"/>
                <w:color w:val="000000"/>
                <w:sz w:val="18"/>
                <w:szCs w:val="18"/>
              </w:rPr>
              <w:t>ata1</w:t>
            </w:r>
          </w:p>
        </w:tc>
        <w:tc>
          <w:tcPr>
            <w:tcW w:w="350" w:type="dxa"/>
            <w:shd w:val="clear" w:color="auto" w:fill="auto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A</w:t>
            </w:r>
          </w:p>
        </w:tc>
        <w:tc>
          <w:tcPr>
            <w:tcW w:w="826" w:type="dxa"/>
            <w:shd w:val="clear" w:color="auto" w:fill="D9D9D9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</w:t>
            </w:r>
            <w:r>
              <w:rPr>
                <w:rFonts w:hint="eastAsia"/>
                <w:color w:val="000000"/>
                <w:sz w:val="18"/>
                <w:szCs w:val="18"/>
              </w:rPr>
              <w:t>ata2</w:t>
            </w:r>
          </w:p>
        </w:tc>
        <w:tc>
          <w:tcPr>
            <w:tcW w:w="348" w:type="dxa"/>
            <w:shd w:val="clear" w:color="auto" w:fill="auto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A</w:t>
            </w:r>
          </w:p>
        </w:tc>
        <w:tc>
          <w:tcPr>
            <w:tcW w:w="396" w:type="dxa"/>
            <w:shd w:val="clear" w:color="auto" w:fill="D9D9D9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…</w:t>
            </w:r>
          </w:p>
        </w:tc>
        <w:tc>
          <w:tcPr>
            <w:tcW w:w="689" w:type="dxa"/>
            <w:shd w:val="clear" w:color="auto" w:fill="D9D9D9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</w:t>
            </w:r>
            <w:r>
              <w:rPr>
                <w:rFonts w:hint="eastAsia"/>
                <w:color w:val="000000"/>
                <w:sz w:val="18"/>
                <w:szCs w:val="18"/>
              </w:rPr>
              <w:t>ataN</w:t>
            </w:r>
          </w:p>
        </w:tc>
        <w:tc>
          <w:tcPr>
            <w:tcW w:w="777" w:type="dxa"/>
            <w:shd w:val="clear" w:color="auto" w:fill="D9D9D9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ACK</w:t>
            </w:r>
          </w:p>
        </w:tc>
        <w:tc>
          <w:tcPr>
            <w:tcW w:w="316" w:type="dxa"/>
            <w:shd w:val="clear" w:color="auto" w:fill="D9D9D9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</w:t>
            </w:r>
          </w:p>
        </w:tc>
      </w:tr>
    </w:tbl>
    <w:p>
      <w:pPr>
        <w:numPr>
          <w:ilvl w:val="0"/>
          <w:numId w:val="1"/>
        </w:numPr>
        <w:spacing w:line="300" w:lineRule="auto"/>
        <w:ind w:left="0" w:leftChars="0"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简述SPI总线工作</w:t>
      </w:r>
      <w:r>
        <w:rPr>
          <w:rFonts w:hint="eastAsia" w:ascii="宋体" w:hAnsi="宋体"/>
          <w:szCs w:val="21"/>
          <w:lang w:eastAsia="zh-CN"/>
        </w:rPr>
        <w:t>时序</w:t>
      </w:r>
      <w:r>
        <w:rPr>
          <w:rFonts w:hint="eastAsia" w:ascii="宋体" w:hAnsi="宋体"/>
          <w:szCs w:val="21"/>
        </w:rPr>
        <w:t>。</w:t>
      </w:r>
    </w:p>
    <w:p>
      <w:pPr>
        <w:spacing w:line="300" w:lineRule="auto"/>
        <w:ind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SPI总线器件与单片机的连线需要3根线，即时钟线SCK、数据线MOSI（主机发送、从机接收）和MISO（主机接收、从机发送）。</w:t>
      </w:r>
    </w:p>
    <w:p>
      <w:pPr>
        <w:spacing w:line="300" w:lineRule="auto"/>
        <w:ind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在对SPI器件进行写操作时，数据的传输需在同步脉冲作用下，按照高位在前，低位在后的顺序进行。SPI总线具有较高的数据传输速度，最高传输速率可达1.05Mb/s。</w:t>
      </w:r>
    </w:p>
    <w:p>
      <w:pPr>
        <w:numPr>
          <w:ilvl w:val="0"/>
          <w:numId w:val="1"/>
        </w:numPr>
        <w:spacing w:line="300" w:lineRule="auto"/>
        <w:ind w:left="0" w:leftChars="0" w:firstLine="420" w:firstLineChars="200"/>
        <w:rPr>
          <w:rFonts w:hint="eastAsia" w:eastAsiaTheme="minorEastAsia"/>
          <w:kern w:val="24"/>
          <w:sz w:val="21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简述</w:t>
      </w:r>
      <w:r>
        <w:rPr>
          <w:rFonts w:hint="eastAsia" w:eastAsiaTheme="minorEastAsia"/>
          <w:kern w:val="24"/>
          <w:sz w:val="21"/>
          <w:szCs w:val="21"/>
        </w:rPr>
        <w:t>HC-05蓝牙模块与电源为5V的单片机连接时应注意哪些</w:t>
      </w:r>
      <w:r>
        <w:rPr>
          <w:rFonts w:hint="eastAsia"/>
          <w:kern w:val="24"/>
          <w:sz w:val="21"/>
          <w:szCs w:val="21"/>
          <w:lang w:eastAsia="zh-CN"/>
        </w:rPr>
        <w:t>。</w:t>
      </w:r>
    </w:p>
    <w:p>
      <w:pPr>
        <w:numPr>
          <w:ilvl w:val="0"/>
          <w:numId w:val="0"/>
        </w:numPr>
        <w:spacing w:line="300" w:lineRule="auto"/>
        <w:ind w:firstLine="420" w:firstLineChars="200"/>
        <w:rPr>
          <w:rFonts w:hint="eastAsia" w:eastAsiaTheme="minorEastAsia"/>
          <w:kern w:val="24"/>
          <w:sz w:val="21"/>
          <w:szCs w:val="21"/>
        </w:rPr>
      </w:pPr>
      <w:r>
        <w:rPr>
          <w:rFonts w:hint="eastAsia" w:eastAsiaTheme="minorEastAsia"/>
          <w:kern w:val="24"/>
          <w:sz w:val="21"/>
          <w:szCs w:val="21"/>
        </w:rPr>
        <w:t>单片机RXD-蓝牙TXD,单片机TXD-蓝牙RXD,单片机GND-蓝牙GND, 注意  蓝牙VCC一般是3.3V,如果单片机VCC也使用3.3V可以使用同一电源，其他的可以不用连接。</w:t>
      </w:r>
    </w:p>
    <w:p>
      <w:pPr>
        <w:spacing w:line="300" w:lineRule="auto"/>
        <w:ind w:firstLine="420"/>
        <w:rPr>
          <w:rFonts w:hint="eastAsia" w:ascii="黑体" w:hAnsi="宋体" w:eastAsia="黑体"/>
          <w:szCs w:val="21"/>
          <w:lang w:val="en-US" w:eastAsia="zh-CN"/>
        </w:rPr>
      </w:pPr>
      <w:r>
        <w:rPr>
          <w:rFonts w:hint="eastAsia" w:ascii="黑体" w:hAnsi="宋体" w:eastAsia="黑体"/>
          <w:szCs w:val="21"/>
          <w:lang w:val="en-US" w:eastAsia="zh-CN"/>
        </w:rPr>
        <w:t>三、应用题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1.</w:t>
      </w:r>
      <w:r>
        <w:rPr>
          <w:rFonts w:hint="eastAsia" w:ascii="宋体" w:hAnsi="宋体"/>
          <w:szCs w:val="21"/>
        </w:rPr>
        <w:t>向AT24C01的10H单元写入立即数56H，再读出该字节的数据，</w:t>
      </w:r>
      <w:r>
        <w:rPr>
          <w:rFonts w:hint="eastAsia" w:ascii="宋体" w:hAnsi="宋体"/>
          <w:szCs w:val="21"/>
          <w:lang w:eastAsia="zh-CN"/>
        </w:rPr>
        <w:t>送</w:t>
      </w:r>
      <w:r>
        <w:rPr>
          <w:rFonts w:hint="eastAsia" w:ascii="宋体" w:hAnsi="宋体"/>
          <w:szCs w:val="21"/>
          <w:lang w:val="en-US" w:eastAsia="zh-CN"/>
        </w:rPr>
        <w:t>P1口，P1口接发光二极管，</w:t>
      </w:r>
      <w:r>
        <w:rPr>
          <w:rFonts w:hint="eastAsia" w:ascii="宋体" w:hAnsi="宋体"/>
          <w:szCs w:val="21"/>
        </w:rPr>
        <w:t>整个过程用</w:t>
      </w:r>
      <w:r>
        <w:rPr>
          <w:rFonts w:hint="eastAsia" w:ascii="宋体" w:hAnsi="宋体"/>
          <w:szCs w:val="21"/>
          <w:lang w:eastAsia="zh-CN"/>
        </w:rPr>
        <w:t>I2</w:t>
      </w:r>
      <w:r>
        <w:rPr>
          <w:rFonts w:hint="eastAsia" w:ascii="宋体" w:hAnsi="宋体"/>
          <w:szCs w:val="21"/>
        </w:rPr>
        <w:t>C仪表进行观察。</w:t>
      </w:r>
    </w:p>
    <w:p>
      <w:pPr>
        <w:spacing w:line="300" w:lineRule="auto"/>
        <w:ind w:firstLine="42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>解题分析：</w:t>
      </w:r>
    </w:p>
    <w:p>
      <w:pPr>
        <w:spacing w:line="300" w:lineRule="auto"/>
        <w:ind w:firstLine="42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>程序源代码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#include &lt;reg52.h&gt;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#include &lt;intrins.h&gt;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#define uchar unsigned char 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sbit sda=P2^0; //数据线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sbit scl=P2^1; //时钟线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void delay5us(void)   //延时5us函数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{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unsigned char a;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for(a=1;a&gt;0;a--);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}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void delay200ms(void)   //延时200m函数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{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uchar a,b,c;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for(c=4;c&gt;0;c--)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for(b=116;b&gt;0;b--)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for(a=214;a&gt;0;a--);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_nop_();  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}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void start()   //开始接收函数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{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 sda=1;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 delay5us();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 scl=1;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 delay5us();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 sda=0;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 delay5us();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} 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void stop()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  //停止接收函数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{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sda=0;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delay5us();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scl=1;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delay5us();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sda=1;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delay5us();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}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void respons() //应答函数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{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uchar a; 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scl=1;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delay5us();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while((sda==1)&amp;&amp;(a&lt;200))a++;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//应答后退出循环，或者当过了一段时间后还没有应答则退出循环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scl=0;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delay5us();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}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void norespons()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//不应答函数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{ 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scl=1;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delay5us();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sda=1;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delay5us();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scl=0;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delay5us();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}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void write_byte(uchar dat)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//向器件进行写操作的函数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{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uchar i,temp;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temp=dat;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scl=0;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delay5us();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for(i=0;i&lt;8;i++)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//循环八次从最高位开始将数据写入器件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{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temp=temp&lt;&lt;1;  //移位过后最高位便赋给了PSW（状态寄存器）的CY（溢出标志位）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scl=0;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delay5us();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sda=CY;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  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delay5us();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scl=1;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delay5us();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}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scl=0;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delay5us();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sda=1;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   //写完过后释放总线，以便于接收应答信号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delay5us();</w:t>
      </w:r>
      <w:r>
        <w:rPr>
          <w:rFonts w:hint="eastAsia" w:ascii="宋体" w:hAnsi="宋体"/>
          <w:szCs w:val="21"/>
        </w:rPr>
        <w:tab/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}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uchar read_byte()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  //读函数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{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uchar i,j,k;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scl=0;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delay5us();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for(i=0;i&lt;8;i++)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  //循环八次从最高位开始将数据读出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{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scl=1;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delay5us();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j=sda;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delay5us();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k=(k&lt;&lt;1)|j;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//k左移一位：最先读出的数据便到了最高位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scl=0;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delay5us();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}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return k;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  //将k（此时k是8位）返回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}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void init()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 //初始化函数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{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sda=1;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delay5us();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scl=1;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delay5us();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}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void main()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{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init();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//初始化总线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start();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    //开始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write_byte(0xa0);  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//表明对哪个器件进行操作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respons();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  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//应答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write_byte(0x10);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//表明对器件内存的哪个地址进行操作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respons();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//应答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write_byte(0x56);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//往器件写的内容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respons();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//应答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stop();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//停止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delay200ms();  //对器件写完过后不能立即进行读所以要延时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start();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  //开始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write_byte(0xa0);   //表明对哪个器件进行操作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respons();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write_byte(0x10);  //表明对器件内存的哪个地址进行操作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respons();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start();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write_byte(0xa1); //表明对器件进行读操作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respons();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P1=read_byte();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 //将读到的数据赋给P1口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2080895</wp:posOffset>
            </wp:positionH>
            <wp:positionV relativeFrom="paragraph">
              <wp:posOffset>93345</wp:posOffset>
            </wp:positionV>
            <wp:extent cx="2538730" cy="1562735"/>
            <wp:effectExtent l="0" t="0" r="13970" b="18415"/>
            <wp:wrapSquare wrapText="bothSides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rcRect l="15990" t="14664" r="3723" b="15059"/>
                    <a:stretch>
                      <a:fillRect/>
                    </a:stretch>
                  </pic:blipFill>
                  <pic:spPr>
                    <a:xfrm>
                      <a:off x="0" y="0"/>
                      <a:ext cx="2538730" cy="15627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norespons();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bookmarkStart w:id="4" w:name="_GoBack"/>
      <w:bookmarkEnd w:id="4"/>
    </w:p>
    <w:p>
      <w:pPr>
        <w:spacing w:line="300" w:lineRule="auto"/>
        <w:ind w:firstLine="840" w:firstLineChars="4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stop();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while(1);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632460</wp:posOffset>
            </wp:positionH>
            <wp:positionV relativeFrom="paragraph">
              <wp:posOffset>186055</wp:posOffset>
            </wp:positionV>
            <wp:extent cx="1192530" cy="676910"/>
            <wp:effectExtent l="0" t="0" r="7620" b="8890"/>
            <wp:wrapSquare wrapText="bothSides"/>
            <wp:docPr id="4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9253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Cs w:val="21"/>
        </w:rPr>
        <w:t>}</w:t>
      </w: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</w:p>
    <w:p>
      <w:pPr>
        <w:spacing w:line="300" w:lineRule="auto"/>
        <w:ind w:firstLine="420"/>
        <w:rPr>
          <w:rFonts w:hint="eastAsia" w:ascii="宋体" w:hAnsi="宋体"/>
          <w:szCs w:val="21"/>
        </w:rPr>
      </w:pP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2.</w:t>
      </w:r>
      <w:r>
        <w:rPr>
          <w:rFonts w:hint="eastAsia" w:ascii="宋体" w:hAnsi="宋体"/>
          <w:szCs w:val="21"/>
        </w:rPr>
        <w:t>用Proteus虚拟终端PCJ、PCF代表计算机的COM口，编程将PC键盘发送的数据显示出来，并向PC发送同一数据，在屏幕上显示出来。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960120</wp:posOffset>
            </wp:positionH>
            <wp:positionV relativeFrom="paragraph">
              <wp:posOffset>763270</wp:posOffset>
            </wp:positionV>
            <wp:extent cx="3007360" cy="1642110"/>
            <wp:effectExtent l="0" t="0" r="2540" b="1524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rcRect l="16100" t="28561" r="18747" b="20805"/>
                    <a:stretch>
                      <a:fillRect/>
                    </a:stretch>
                  </pic:blipFill>
                  <pic:spPr>
                    <a:xfrm>
                      <a:off x="0" y="0"/>
                      <a:ext cx="3007360" cy="16421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Cs w:val="21"/>
          <w:lang w:eastAsia="zh-CN"/>
        </w:rPr>
        <w:t>解题分析：</w:t>
      </w:r>
      <w:r>
        <w:rPr>
          <w:rFonts w:hint="eastAsia" w:ascii="宋体" w:hAnsi="宋体"/>
          <w:szCs w:val="21"/>
        </w:rPr>
        <w:t>打开Proteus的ISIS窗口，通过对象选择器按钮，从元件库中选择如下元器件：AT89C51、MAX232、COMPM、7SEG-BCD-GRN、RES、CAP-ELEC和虚拟终端调试工具等元器件。连线得到单片机与PC进行串行通信电路如图所示。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pict>
          <v:shape id="_x0000_s1026" o:spid="_x0000_s1026" o:spt="75" type="#_x0000_t75" style="position:absolute;left:0pt;margin-left:254.2pt;margin-top:44.2pt;height:196.8pt;width:94.7pt;mso-wrap-distance-bottom:0pt;mso-wrap-distance-left:9pt;mso-wrap-distance-right:9pt;mso-wrap-distance-top:0pt;z-index:251677696;mso-width-relative:page;mso-height-relative:page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square"/>
          </v:shape>
          <o:OLEObject Type="Embed" ProgID="Visio.Drawing.11" ShapeID="_x0000_s1026" DrawAspect="Content" ObjectID="_1468075725" r:id="rId7">
            <o:LockedField>false</o:LockedField>
          </o:OLEObject>
        </w:pict>
      </w:r>
      <w:r>
        <w:rPr>
          <w:rFonts w:hint="eastAsia" w:ascii="宋体" w:hAnsi="宋体"/>
          <w:szCs w:val="21"/>
        </w:rPr>
        <w:t>单片机通过查询方式接收PC发送的数据，并回送给PC。单片机串行口的工作方式为方式1，晶振为12 MHz时，波特率为1200b/s。定时器1按方式2工作，经计算，定时器预置值为E6H，SMOD=1。程序流程图如图所示，程序如下：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ORG 0000H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LJMP START</w:t>
      </w:r>
    </w:p>
    <w:p>
      <w:pPr>
        <w:spacing w:line="300" w:lineRule="auto"/>
        <w:ind w:firstLine="630" w:firstLineChars="3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START: MOV P1, #00H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MOV TMOD, #20H 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MOV TH1, #0E6H 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MOV TH2, #06EH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SETB TR1</w:t>
      </w:r>
    </w:p>
    <w:p>
      <w:pPr>
        <w:spacing w:line="300" w:lineRule="auto"/>
        <w:ind w:left="3650" w:leftChars="478" w:hanging="2646" w:hangingChars="1260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L</w:t>
      </w:r>
      <w:r>
        <w:rPr>
          <w:rFonts w:hint="eastAsia" w:ascii="宋体" w:hAnsi="宋体"/>
          <w:szCs w:val="21"/>
        </w:rPr>
        <w:t xml:space="preserve">P: MOV SCON, #50H </w:t>
      </w:r>
    </w:p>
    <w:p>
      <w:pPr>
        <w:spacing w:line="300" w:lineRule="auto"/>
        <w:ind w:left="3629" w:leftChars="228" w:hanging="3150" w:hangingChars="15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MOV R1, #00H </w:t>
      </w:r>
    </w:p>
    <w:p>
      <w:pPr>
        <w:spacing w:line="300" w:lineRule="auto"/>
        <w:ind w:left="3637" w:leftChars="328" w:hanging="2948" w:hangingChars="1404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LP1: JNB RI</w:t>
      </w:r>
      <w:r>
        <w:t xml:space="preserve"> </w:t>
      </w:r>
      <w:r>
        <w:rPr>
          <w:rFonts w:hint="eastAsia"/>
        </w:rPr>
        <w:t xml:space="preserve">                           </w:t>
      </w:r>
    </w:p>
    <w:p>
      <w:pPr>
        <w:spacing w:line="300" w:lineRule="auto"/>
        <w:ind w:left="3629" w:leftChars="228" w:hanging="3150" w:hangingChars="15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CLR RI</w:t>
      </w:r>
    </w:p>
    <w:p>
      <w:pPr>
        <w:spacing w:line="300" w:lineRule="auto"/>
        <w:ind w:left="3629" w:leftChars="228" w:hanging="3150" w:hangingChars="15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MOV A, SBUF</w:t>
      </w:r>
    </w:p>
    <w:p>
      <w:pPr>
        <w:spacing w:line="300" w:lineRule="auto"/>
        <w:ind w:left="3629" w:leftChars="228" w:hanging="3150" w:hangingChars="15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MOV SBUF, A                    </w:t>
      </w:r>
    </w:p>
    <w:p>
      <w:pPr>
        <w:spacing w:line="300" w:lineRule="auto"/>
        <w:ind w:left="3629" w:leftChars="228" w:hanging="3150" w:hangingChars="15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并向PC发送；******单片机数据处理及显示******</w:t>
      </w:r>
    </w:p>
    <w:p>
      <w:pPr>
        <w:spacing w:line="300" w:lineRule="auto"/>
        <w:ind w:left="3629" w:leftChars="228" w:hanging="3150" w:hangingChars="15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ANL A, #0FH</w:t>
      </w:r>
    </w:p>
    <w:p>
      <w:pPr>
        <w:spacing w:line="300" w:lineRule="auto"/>
        <w:ind w:left="3629" w:leftChars="228" w:hanging="3150" w:hangingChars="15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MOV R0, A</w:t>
      </w:r>
    </w:p>
    <w:p>
      <w:pPr>
        <w:spacing w:line="300" w:lineRule="auto"/>
        <w:ind w:left="3629" w:leftChars="228" w:hanging="3150" w:hangingChars="15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MOV A, R1</w:t>
      </w:r>
    </w:p>
    <w:p>
      <w:pPr>
        <w:spacing w:line="300" w:lineRule="auto"/>
        <w:ind w:left="3629" w:leftChars="228" w:hanging="3150" w:hangingChars="15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SWAP A </w:t>
      </w:r>
    </w:p>
    <w:p>
      <w:pPr>
        <w:spacing w:line="300" w:lineRule="auto"/>
        <w:ind w:left="3629" w:leftChars="228" w:hanging="3150" w:hangingChars="15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ANL A, #0F0H</w:t>
      </w:r>
    </w:p>
    <w:p>
      <w:pPr>
        <w:spacing w:line="300" w:lineRule="auto"/>
        <w:ind w:left="3629" w:leftChars="228" w:hanging="3150" w:hangingChars="15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MOV R1, A</w:t>
      </w:r>
    </w:p>
    <w:p>
      <w:pPr>
        <w:spacing w:line="300" w:lineRule="auto"/>
        <w:ind w:left="3629" w:leftChars="228" w:hanging="3150" w:hangingChars="15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MOV A, R0</w:t>
      </w:r>
    </w:p>
    <w:p>
      <w:pPr>
        <w:spacing w:line="300" w:lineRule="auto"/>
        <w:ind w:left="3629" w:leftChars="228" w:hanging="3150" w:hangingChars="15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ORL A, R1</w:t>
      </w:r>
    </w:p>
    <w:p>
      <w:pPr>
        <w:spacing w:line="300" w:lineRule="auto"/>
        <w:ind w:left="3629" w:leftChars="228" w:hanging="3150" w:hangingChars="15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MOV R1, A</w:t>
      </w:r>
    </w:p>
    <w:p>
      <w:pPr>
        <w:spacing w:line="300" w:lineRule="auto"/>
        <w:ind w:left="3629" w:leftChars="228" w:hanging="3150" w:hangingChars="15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MOV P1, A</w:t>
      </w:r>
    </w:p>
    <w:p>
      <w:pPr>
        <w:spacing w:line="300" w:lineRule="auto"/>
        <w:ind w:left="3645" w:leftChars="428" w:hanging="2746" w:hangingChars="1308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LP2: JNB TI, LP2</w:t>
      </w:r>
    </w:p>
    <w:p>
      <w:pPr>
        <w:spacing w:line="300" w:lineRule="auto"/>
        <w:ind w:left="3629" w:leftChars="228" w:hanging="3150" w:hangingChars="15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CLR TI</w:t>
      </w:r>
    </w:p>
    <w:p>
      <w:pPr>
        <w:spacing w:line="300" w:lineRule="auto"/>
        <w:ind w:left="3629" w:leftChars="228" w:hanging="3150" w:hangingChars="15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LJMP LP1</w:t>
      </w:r>
    </w:p>
    <w:p>
      <w:pPr>
        <w:spacing w:line="300" w:lineRule="auto"/>
        <w:ind w:left="3629" w:leftChars="228" w:hanging="3150" w:hangingChars="15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END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将上述程序在Proteus环境编译，右键单击PCJ及PJF虚拟仪器、选择编辑属性，如图所示。对串行口、单片机、PCJ、PCF进行设置（波特率为1200 bps，PCJ、PCF的逻辑电平设置为Inverted，其余的保持默认设置），并设单片机的时钟频率为12 MHz。在Proteus编辑环境中将编译得到的hex文件加载到单片机。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单击“全速仿真”按钮，在PCF中用键盘连续输入123456789。如图5-34所示，观测到PCJ中看到与输入同样的数据，同时在数码管上个位显示当前输入的数据、十位显示当前的前一位输入，显示结果是最后的两位，只要屏幕上所显示的字符与所键入的字符相同，即可表明PC与单片机间通信正常。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764540</wp:posOffset>
            </wp:positionH>
            <wp:positionV relativeFrom="paragraph">
              <wp:posOffset>28575</wp:posOffset>
            </wp:positionV>
            <wp:extent cx="3548380" cy="1998980"/>
            <wp:effectExtent l="0" t="0" r="13970" b="1270"/>
            <wp:wrapSquare wrapText="bothSides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rcRect l="16518" t="27916" r="18596" b="20081"/>
                    <a:stretch>
                      <a:fillRect/>
                    </a:stretch>
                  </pic:blipFill>
                  <pic:spPr>
                    <a:xfrm>
                      <a:off x="0" y="0"/>
                      <a:ext cx="3548380" cy="19989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</w:p>
    <w:p>
      <w:pPr>
        <w:spacing w:line="300" w:lineRule="auto"/>
        <w:ind w:left="0" w:leftChars="0" w:firstLine="0" w:firstLineChars="0"/>
        <w:rPr>
          <w:rFonts w:hint="eastAsia" w:ascii="宋体" w:hAnsi="宋体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llegro BT">
    <w:altName w:val="Courier New"/>
    <w:panose1 w:val="040409040D0702020402"/>
    <w:charset w:val="00"/>
    <w:family w:val="decorative"/>
    <w:pitch w:val="default"/>
    <w:sig w:usb0="00000000" w:usb1="00000000" w:usb2="00000000" w:usb3="00000000" w:csb0="0000001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5A9E7"/>
    <w:multiLevelType w:val="singleLevel"/>
    <w:tmpl w:val="7525A9E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9530BF"/>
    <w:rsid w:val="0F0E053E"/>
    <w:rsid w:val="1F361F39"/>
    <w:rsid w:val="2A6A1066"/>
    <w:rsid w:val="36D275CA"/>
    <w:rsid w:val="4B9530BF"/>
    <w:rsid w:val="6DB23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ind w:firstLine="0" w:firstLineChars="0"/>
      <w:outlineLvl w:val="1"/>
    </w:pPr>
    <w:rPr>
      <w:rFonts w:ascii="Allegro BT" w:hAnsi="Allegro BT" w:eastAsia="MS Mincho"/>
      <w:sz w:val="72"/>
      <w:lang w:eastAsia="ja-JP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wmf"/><Relationship Id="rId7" Type="http://schemas.openxmlformats.org/officeDocument/2006/relationships/oleObject" Target="embeddings/oleObject1.bin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2018-04-03T15:09:00Z</dcterms:created>
  <dc:creator>Administrator</dc:creator>
  <cp:lastModifiedBy>江老师</cp:lastModifiedBy>
  <dcterms:modified xsi:type="dcterms:W3CDTF">2018-07-15T15:23:19Z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